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CE54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54B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-1</w:t>
            </w:r>
            <w:r w:rsidR="00CE54B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CE54B5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оября 201</w:t>
            </w:r>
            <w:r w:rsidR="00CE54B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 №11 г. Челябинска»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CE5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Лабора</w:t>
            </w:r>
            <w:r w:rsidR="005572C9">
              <w:rPr>
                <w:bCs/>
                <w:color w:val="000000"/>
                <w:sz w:val="26"/>
                <w:szCs w:val="26"/>
              </w:rPr>
              <w:t xml:space="preserve">нт </w:t>
            </w:r>
            <w:r>
              <w:rPr>
                <w:bCs/>
                <w:color w:val="000000"/>
                <w:sz w:val="26"/>
                <w:szCs w:val="26"/>
              </w:rPr>
              <w:t>химическ</w:t>
            </w:r>
            <w:r w:rsidR="005572C9">
              <w:rPr>
                <w:bCs/>
                <w:color w:val="000000"/>
                <w:sz w:val="26"/>
                <w:szCs w:val="26"/>
              </w:rPr>
              <w:t>ого</w:t>
            </w:r>
            <w:r>
              <w:rPr>
                <w:bCs/>
                <w:color w:val="000000"/>
                <w:sz w:val="26"/>
                <w:szCs w:val="26"/>
              </w:rPr>
              <w:t xml:space="preserve"> анализ</w:t>
            </w:r>
            <w:r w:rsidR="005572C9">
              <w:rPr>
                <w:bCs/>
                <w:color w:val="000000"/>
                <w:sz w:val="26"/>
                <w:szCs w:val="26"/>
              </w:rPr>
              <w:t>а</w:t>
            </w:r>
            <w:r w:rsidR="00CE54B5">
              <w:rPr>
                <w:bCs/>
                <w:color w:val="000000"/>
                <w:sz w:val="26"/>
                <w:szCs w:val="26"/>
              </w:rPr>
              <w:t xml:space="preserve"> 12+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627BA" w:rsidP="00CE5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Киба Нина Игоревна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875"/>
        <w:gridCol w:w="6530"/>
      </w:tblGrid>
      <w:tr w:rsidR="003F75B4" w:rsidRPr="004A12E4" w:rsidTr="00F31583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FA4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двух независимых модулей, </w:t>
            </w:r>
            <w:r w:rsidR="009A1FA4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выполняемых последовательно.</w:t>
            </w:r>
          </w:p>
          <w:p w:rsidR="00825FD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Конкурсное задание позволяет оценивать знание и понимание исключительно в условиях практической работы. В ходе выполнения модулей могут подвергаться проверке следующие области знаний:</w:t>
            </w:r>
          </w:p>
          <w:p w:rsidR="00825FD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1FA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равила и нормы охраны труда;</w:t>
            </w:r>
          </w:p>
          <w:p w:rsidR="00825FDD" w:rsidRDefault="009A1FA4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825FD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основные принципы планирования эксперимента;</w:t>
            </w:r>
          </w:p>
          <w:p w:rsidR="00825FD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правила оформления технической документации на проведение анализа;</w:t>
            </w:r>
          </w:p>
          <w:p w:rsidR="00825FD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устройство приборов аналитического контроля и методики работы на них;</w:t>
            </w:r>
          </w:p>
          <w:p w:rsidR="00825FDD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химические методы анализа веществ;</w:t>
            </w:r>
          </w:p>
          <w:p w:rsidR="009A1FA4" w:rsidRDefault="00825FDD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- работа с химическими веществами </w:t>
            </w:r>
            <w:r w:rsidR="009A1FA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9A1FA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 охраны труда и экологической безопасности;</w:t>
            </w:r>
          </w:p>
          <w:p w:rsidR="009A1FA4" w:rsidRDefault="009A1FA4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отбор проб и образцов для проведения анализа;</w:t>
            </w:r>
          </w:p>
          <w:p w:rsidR="009A1FA4" w:rsidRDefault="009A1FA4" w:rsidP="00F23E29">
            <w:pPr>
              <w:pStyle w:val="4"/>
              <w:shd w:val="clear" w:color="auto" w:fill="auto"/>
              <w:spacing w:before="0" w:after="0" w:line="276" w:lineRule="auto"/>
              <w:ind w:left="23" w:firstLine="709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F23E2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 материалов химическими</w:t>
            </w:r>
            <w:r w:rsidR="00CE54B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методами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FA4" w:rsidRDefault="009A1FA4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- контроль показателей качества;</w:t>
            </w:r>
          </w:p>
          <w:p w:rsidR="00825FDD" w:rsidRDefault="009A1FA4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оформление результатов эксперимента</w:t>
            </w:r>
          </w:p>
          <w:p w:rsidR="00F23E29" w:rsidRPr="004A12E4" w:rsidRDefault="00F23E29" w:rsidP="00F23E29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b/>
                <w:sz w:val="26"/>
                <w:szCs w:val="26"/>
              </w:rPr>
            </w:pPr>
          </w:p>
        </w:tc>
      </w:tr>
      <w:tr w:rsidR="003F75B4" w:rsidRPr="004A12E4" w:rsidTr="00F31583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55FF" w:rsidRPr="001955FF" w:rsidRDefault="001955FF" w:rsidP="001955FF">
            <w:r w:rsidRPr="001955FF">
              <w:t>Модуль 1</w:t>
            </w:r>
            <w:r w:rsidR="006A0569">
              <w:t>.</w:t>
            </w:r>
            <w:r w:rsidRPr="001955FF">
              <w:t xml:space="preserve">  Приготовление растворов (</w:t>
            </w:r>
            <w:r w:rsidR="00CE54B5">
              <w:t>2</w:t>
            </w:r>
            <w:r w:rsidRPr="001955FF">
              <w:t xml:space="preserve"> часа)</w:t>
            </w:r>
          </w:p>
          <w:p w:rsidR="001955FF" w:rsidRPr="001955FF" w:rsidRDefault="001955FF" w:rsidP="001955FF">
            <w:pPr>
              <w:ind w:left="1276" w:hanging="1276"/>
              <w:jc w:val="both"/>
            </w:pPr>
            <w:r w:rsidRPr="001955FF">
              <w:rPr>
                <w:color w:val="0D040B"/>
                <w:lang w:bidi="he-IL"/>
              </w:rPr>
              <w:t>Модуль 2</w:t>
            </w:r>
            <w:r w:rsidR="006A0569">
              <w:rPr>
                <w:color w:val="0D040B"/>
                <w:lang w:bidi="he-IL"/>
              </w:rPr>
              <w:t xml:space="preserve">. </w:t>
            </w:r>
            <w:r w:rsidRPr="001955FF">
              <w:rPr>
                <w:color w:val="0D040B"/>
                <w:lang w:bidi="he-IL"/>
              </w:rPr>
              <w:t xml:space="preserve"> Анализ </w:t>
            </w:r>
            <w:r w:rsidR="00CE54B5">
              <w:rPr>
                <w:color w:val="0D040B"/>
                <w:lang w:bidi="he-IL"/>
              </w:rPr>
              <w:t xml:space="preserve"> шоколада </w:t>
            </w:r>
            <w:r w:rsidRPr="001955FF">
              <w:rPr>
                <w:color w:val="0D040B"/>
                <w:lang w:bidi="he-IL"/>
              </w:rPr>
              <w:t>(</w:t>
            </w:r>
            <w:r w:rsidR="00CE54B5">
              <w:rPr>
                <w:color w:val="0D040B"/>
                <w:lang w:bidi="he-IL"/>
              </w:rPr>
              <w:t>2</w:t>
            </w:r>
            <w:r w:rsidRPr="001955FF">
              <w:rPr>
                <w:color w:val="0D040B"/>
                <w:lang w:bidi="he-IL"/>
              </w:rPr>
              <w:t xml:space="preserve"> часа)</w:t>
            </w:r>
          </w:p>
          <w:p w:rsidR="001955FF" w:rsidRDefault="001955FF" w:rsidP="001955FF">
            <w:pPr>
              <w:rPr>
                <w:b/>
                <w:sz w:val="28"/>
              </w:rPr>
            </w:pPr>
          </w:p>
          <w:p w:rsidR="003F75B4" w:rsidRPr="004A12E4" w:rsidRDefault="003F75B4" w:rsidP="003F04D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75B4" w:rsidRPr="004A12E4" w:rsidTr="00F31583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F23E29" w:rsidP="00CE54B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23E29">
              <w:rPr>
                <w:rStyle w:val="1"/>
                <w:rFonts w:ascii="Times New Roman" w:hAnsi="Times New Roman" w:cs="Times New Roman"/>
              </w:rPr>
              <w:t>Участники соревнований получают образцы пищевой продукции (</w:t>
            </w:r>
            <w:r w:rsidR="00CE54B5">
              <w:rPr>
                <w:rStyle w:val="1"/>
                <w:rFonts w:ascii="Times New Roman" w:hAnsi="Times New Roman" w:cs="Times New Roman"/>
              </w:rPr>
              <w:t>шоколад</w:t>
            </w:r>
            <w:r w:rsidRPr="00F23E29">
              <w:rPr>
                <w:rStyle w:val="1"/>
                <w:rFonts w:ascii="Times New Roman" w:hAnsi="Times New Roman" w:cs="Times New Roman"/>
              </w:rPr>
              <w:t xml:space="preserve">), образцы </w:t>
            </w:r>
            <w:r w:rsidR="00CE54B5">
              <w:rPr>
                <w:rStyle w:val="1"/>
                <w:rFonts w:ascii="Times New Roman" w:hAnsi="Times New Roman" w:cs="Times New Roman"/>
              </w:rPr>
              <w:t xml:space="preserve">вещества </w:t>
            </w:r>
            <w:r w:rsidRPr="00F23E29">
              <w:rPr>
                <w:rStyle w:val="1"/>
                <w:rFonts w:ascii="Times New Roman" w:hAnsi="Times New Roman" w:cs="Times New Roman"/>
              </w:rPr>
              <w:t>для приготовления растворов и инструкцию по выполнению задания</w:t>
            </w:r>
            <w:r w:rsidRPr="001955FF">
              <w:rPr>
                <w:rStyle w:val="1"/>
              </w:rPr>
              <w:t>.</w:t>
            </w:r>
          </w:p>
        </w:tc>
      </w:tr>
      <w:tr w:rsidR="003F75B4" w:rsidRPr="004A12E4" w:rsidTr="00F31583">
        <w:trPr>
          <w:trHeight w:val="308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0569" w:rsidRDefault="006A0569" w:rsidP="001955FF">
            <w:r w:rsidRPr="001955FF">
              <w:t>Модуль 1</w:t>
            </w:r>
            <w:r>
              <w:t>.</w:t>
            </w:r>
            <w:r w:rsidRPr="001955FF">
              <w:t xml:space="preserve">  Приготовление растворов </w:t>
            </w:r>
          </w:p>
          <w:p w:rsidR="001955FF" w:rsidRPr="001955FF" w:rsidRDefault="001955FF" w:rsidP="001955FF">
            <w:r w:rsidRPr="001955FF">
              <w:t xml:space="preserve">Задания включают выполнение работ по приготовлению, разбавлению </w:t>
            </w:r>
            <w:r w:rsidR="00FD10EE">
              <w:t>или</w:t>
            </w:r>
            <w:bookmarkStart w:id="0" w:name="_GoBack"/>
            <w:bookmarkEnd w:id="0"/>
            <w:r w:rsidR="00FD10EE">
              <w:t xml:space="preserve"> концентрированию </w:t>
            </w:r>
            <w:r w:rsidR="00CE54B5">
              <w:t xml:space="preserve">растворов, </w:t>
            </w:r>
            <w:r w:rsidRPr="001955FF">
              <w:t>измерение объёма жидкости, измерение плотности жидкости с помощью ареометра</w:t>
            </w:r>
          </w:p>
          <w:p w:rsidR="001955FF" w:rsidRPr="001955FF" w:rsidRDefault="001955FF" w:rsidP="001955F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 xml:space="preserve">Данные: </w:t>
            </w:r>
          </w:p>
          <w:p w:rsidR="001955FF" w:rsidRPr="001955FF" w:rsidRDefault="001955FF" w:rsidP="001955FF">
            <w:pPr>
              <w:numPr>
                <w:ilvl w:val="0"/>
                <w:numId w:val="1"/>
              </w:numPr>
              <w:ind w:firstLine="709"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>р</w:t>
            </w:r>
            <w:r w:rsidR="00F23E29">
              <w:rPr>
                <w:rFonts w:eastAsia="Calibri"/>
                <w:lang w:eastAsia="en-US"/>
              </w:rPr>
              <w:t>асходные материалы</w:t>
            </w:r>
            <w:r w:rsidRPr="001955FF">
              <w:rPr>
                <w:rFonts w:eastAsia="Calibri"/>
                <w:lang w:eastAsia="en-US"/>
              </w:rPr>
              <w:t xml:space="preserve"> </w:t>
            </w:r>
          </w:p>
          <w:p w:rsidR="001955FF" w:rsidRPr="001955FF" w:rsidRDefault="001955FF" w:rsidP="001955FF">
            <w:pPr>
              <w:numPr>
                <w:ilvl w:val="0"/>
                <w:numId w:val="1"/>
              </w:numPr>
              <w:ind w:firstLine="709"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>оборудование</w:t>
            </w:r>
          </w:p>
          <w:p w:rsidR="001955FF" w:rsidRPr="006A0569" w:rsidRDefault="001955FF" w:rsidP="005454AF">
            <w:pPr>
              <w:numPr>
                <w:ilvl w:val="0"/>
                <w:numId w:val="1"/>
              </w:numPr>
              <w:ind w:firstLine="709"/>
              <w:jc w:val="both"/>
              <w:rPr>
                <w:rFonts w:eastAsia="Calibri"/>
                <w:lang w:eastAsia="en-US"/>
              </w:rPr>
            </w:pPr>
            <w:r w:rsidRPr="006A0569">
              <w:rPr>
                <w:rFonts w:eastAsia="Calibri"/>
                <w:lang w:eastAsia="en-US"/>
              </w:rPr>
              <w:t>справочная информация.</w:t>
            </w:r>
          </w:p>
          <w:p w:rsidR="001955FF" w:rsidRPr="001955FF" w:rsidRDefault="001955FF" w:rsidP="001955F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>Выполняемая работа:</w:t>
            </w:r>
          </w:p>
          <w:p w:rsidR="001955FF" w:rsidRPr="001955FF" w:rsidRDefault="001955FF" w:rsidP="001955FF">
            <w:pPr>
              <w:numPr>
                <w:ilvl w:val="0"/>
                <w:numId w:val="2"/>
              </w:numPr>
              <w:spacing w:after="160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 xml:space="preserve">Составить и реализовать алгоритм </w:t>
            </w:r>
            <w:r w:rsidRPr="001955FF">
              <w:rPr>
                <w:rFonts w:eastAsia="Calibri"/>
                <w:lang w:eastAsia="en-US"/>
              </w:rPr>
              <w:lastRenderedPageBreak/>
              <w:t xml:space="preserve">выполнения экспериментального задания </w:t>
            </w:r>
          </w:p>
          <w:p w:rsidR="001955FF" w:rsidRPr="001955FF" w:rsidRDefault="001955FF" w:rsidP="001955FF">
            <w:pPr>
              <w:numPr>
                <w:ilvl w:val="0"/>
                <w:numId w:val="2"/>
              </w:numPr>
              <w:spacing w:after="160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>Произвести необходимые вычисления</w:t>
            </w:r>
          </w:p>
          <w:p w:rsidR="001955FF" w:rsidRPr="001955FF" w:rsidRDefault="001955FF" w:rsidP="001955FF">
            <w:pPr>
              <w:numPr>
                <w:ilvl w:val="0"/>
                <w:numId w:val="2"/>
              </w:numPr>
              <w:spacing w:after="160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>Подготовить посуду для эксперимента</w:t>
            </w:r>
          </w:p>
          <w:p w:rsidR="001955FF" w:rsidRPr="006A0569" w:rsidRDefault="001955FF" w:rsidP="00613401">
            <w:pPr>
              <w:numPr>
                <w:ilvl w:val="0"/>
                <w:numId w:val="2"/>
              </w:numPr>
              <w:spacing w:after="160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6A0569">
              <w:rPr>
                <w:rFonts w:eastAsia="Calibri"/>
                <w:lang w:eastAsia="en-US"/>
              </w:rPr>
              <w:t>Приготовить растворы, определить плотность;</w:t>
            </w:r>
          </w:p>
          <w:p w:rsidR="006A0569" w:rsidRDefault="006A0569" w:rsidP="006A0569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Fonts w:ascii="Times New Roman" w:hAnsi="Times New Roman"/>
                <w:color w:val="0D040B"/>
                <w:sz w:val="24"/>
                <w:szCs w:val="24"/>
                <w:lang w:bidi="he-IL"/>
              </w:rPr>
            </w:pPr>
            <w:r w:rsidRPr="001955FF">
              <w:rPr>
                <w:rFonts w:ascii="Times New Roman" w:hAnsi="Times New Roman"/>
                <w:color w:val="0D040B"/>
                <w:sz w:val="24"/>
                <w:szCs w:val="24"/>
                <w:lang w:bidi="he-IL"/>
              </w:rPr>
              <w:t>Модуль 2</w:t>
            </w:r>
            <w:r>
              <w:rPr>
                <w:color w:val="0D040B"/>
                <w:lang w:bidi="he-IL"/>
              </w:rPr>
              <w:t xml:space="preserve">. </w:t>
            </w:r>
            <w:r w:rsidRPr="001955FF">
              <w:rPr>
                <w:rFonts w:ascii="Times New Roman" w:hAnsi="Times New Roman"/>
                <w:color w:val="0D040B"/>
                <w:sz w:val="24"/>
                <w:szCs w:val="24"/>
                <w:lang w:bidi="he-IL"/>
              </w:rPr>
              <w:t xml:space="preserve"> Анализ </w:t>
            </w:r>
            <w:r w:rsidR="00CE54B5">
              <w:rPr>
                <w:rFonts w:ascii="Times New Roman" w:hAnsi="Times New Roman"/>
                <w:color w:val="0D040B"/>
                <w:sz w:val="24"/>
                <w:szCs w:val="24"/>
                <w:lang w:bidi="he-IL"/>
              </w:rPr>
              <w:t>шоколада</w:t>
            </w:r>
          </w:p>
          <w:p w:rsidR="001955FF" w:rsidRPr="001955FF" w:rsidRDefault="006A0569" w:rsidP="006A0569">
            <w:pPr>
              <w:pStyle w:val="4"/>
              <w:shd w:val="clear" w:color="auto" w:fill="auto"/>
              <w:spacing w:before="0" w:after="0" w:line="276" w:lineRule="auto"/>
              <w:ind w:left="23" w:hanging="23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55FF">
              <w:rPr>
                <w:color w:val="0D040B"/>
                <w:sz w:val="24"/>
                <w:szCs w:val="24"/>
                <w:lang w:bidi="he-IL"/>
              </w:rPr>
              <w:t xml:space="preserve"> </w:t>
            </w:r>
            <w:r w:rsidR="001955FF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Задание включает в себя выполнение работ по анализу </w:t>
            </w:r>
            <w:r w:rsidR="00CE54B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разных марок шоколада </w:t>
            </w:r>
            <w:r w:rsidR="001955FF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</w:t>
            </w:r>
            <w:r w:rsidR="00CE54B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анализ качественного состава на основании информации на упаковке, </w:t>
            </w:r>
            <w:r w:rsidR="001955FF" w:rsidRPr="001955F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органолептический, качественное определение компонентов), описание последовательности операций проведения испытаний, составление протокола испытаний образцов пищевой продукции.</w:t>
            </w:r>
          </w:p>
          <w:p w:rsidR="001955FF" w:rsidRPr="001955FF" w:rsidRDefault="001955FF" w:rsidP="001955F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 xml:space="preserve">Данные: </w:t>
            </w:r>
          </w:p>
          <w:p w:rsidR="001955FF" w:rsidRPr="001955FF" w:rsidRDefault="001955FF" w:rsidP="001955FF">
            <w:pPr>
              <w:numPr>
                <w:ilvl w:val="0"/>
                <w:numId w:val="1"/>
              </w:numPr>
              <w:ind w:firstLine="709"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 xml:space="preserve">реактивы, </w:t>
            </w:r>
          </w:p>
          <w:p w:rsidR="001955FF" w:rsidRPr="001955FF" w:rsidRDefault="001955FF" w:rsidP="001955FF">
            <w:pPr>
              <w:numPr>
                <w:ilvl w:val="0"/>
                <w:numId w:val="1"/>
              </w:numPr>
              <w:ind w:firstLine="709"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>оборудование</w:t>
            </w:r>
          </w:p>
          <w:p w:rsidR="006A0569" w:rsidRDefault="006A0569" w:rsidP="001955FF">
            <w:pPr>
              <w:numPr>
                <w:ilvl w:val="0"/>
                <w:numId w:val="1"/>
              </w:num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методика определения</w:t>
            </w:r>
          </w:p>
          <w:p w:rsidR="001955FF" w:rsidRPr="006A0569" w:rsidRDefault="001955FF" w:rsidP="00543E29">
            <w:pPr>
              <w:numPr>
                <w:ilvl w:val="0"/>
                <w:numId w:val="1"/>
              </w:numPr>
              <w:ind w:firstLine="709"/>
              <w:jc w:val="both"/>
              <w:rPr>
                <w:rFonts w:eastAsia="Calibri"/>
                <w:lang w:eastAsia="en-US"/>
              </w:rPr>
            </w:pPr>
            <w:r w:rsidRPr="006A0569">
              <w:rPr>
                <w:rFonts w:eastAsia="Calibri"/>
                <w:lang w:eastAsia="en-US"/>
              </w:rPr>
              <w:t>справочная информация.</w:t>
            </w:r>
          </w:p>
          <w:p w:rsidR="001955FF" w:rsidRPr="001955FF" w:rsidRDefault="001955FF" w:rsidP="006A056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>Выполняемая работа:</w:t>
            </w:r>
          </w:p>
          <w:p w:rsidR="001955FF" w:rsidRPr="001955FF" w:rsidRDefault="001955FF" w:rsidP="006A0569">
            <w:pPr>
              <w:numPr>
                <w:ilvl w:val="0"/>
                <w:numId w:val="2"/>
              </w:numPr>
              <w:spacing w:after="160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>Составить и реализовать алгоритм выполнения экспериментального задания на основе предложенных методик</w:t>
            </w:r>
          </w:p>
          <w:p w:rsidR="001955FF" w:rsidRPr="001955FF" w:rsidRDefault="001955FF" w:rsidP="006A0569">
            <w:pPr>
              <w:numPr>
                <w:ilvl w:val="0"/>
                <w:numId w:val="2"/>
              </w:numPr>
              <w:spacing w:after="160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955FF">
              <w:rPr>
                <w:rFonts w:eastAsia="Calibri"/>
                <w:lang w:eastAsia="en-US"/>
              </w:rPr>
              <w:t>Подготовить посуду для эксперимента</w:t>
            </w:r>
          </w:p>
          <w:p w:rsidR="001955FF" w:rsidRPr="001955FF" w:rsidRDefault="001955FF" w:rsidP="006A0569">
            <w:pPr>
              <w:numPr>
                <w:ilvl w:val="0"/>
                <w:numId w:val="2"/>
              </w:numPr>
              <w:spacing w:after="160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1955FF">
              <w:t>Провести испытания образцов продукции</w:t>
            </w:r>
          </w:p>
          <w:p w:rsidR="003F75B4" w:rsidRPr="006A0569" w:rsidRDefault="006A0569" w:rsidP="006A0569">
            <w:pPr>
              <w:ind w:left="360"/>
              <w:jc w:val="both"/>
              <w:rPr>
                <w:b/>
                <w:bCs/>
                <w:color w:val="000000"/>
              </w:rPr>
            </w:pPr>
            <w:r>
              <w:t xml:space="preserve">      </w:t>
            </w:r>
          </w:p>
        </w:tc>
      </w:tr>
      <w:tr w:rsidR="003F75B4" w:rsidRPr="004A12E4" w:rsidTr="00F31583">
        <w:trPr>
          <w:trHeight w:val="343"/>
        </w:trPr>
        <w:tc>
          <w:tcPr>
            <w:tcW w:w="287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lastRenderedPageBreak/>
              <w:t>Критерии оценки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Style w:val="a5"/>
              <w:tblW w:w="6314" w:type="dxa"/>
              <w:tblLook w:val="04A0"/>
            </w:tblPr>
            <w:tblGrid>
              <w:gridCol w:w="3010"/>
              <w:gridCol w:w="2557"/>
              <w:gridCol w:w="747"/>
            </w:tblGrid>
            <w:tr w:rsidR="00D42BB4" w:rsidRPr="00F23E29" w:rsidTr="00672F40">
              <w:trPr>
                <w:trHeight w:val="346"/>
              </w:trPr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Модуль 1</w:t>
                  </w:r>
                </w:p>
              </w:tc>
              <w:tc>
                <w:tcPr>
                  <w:tcW w:w="3304" w:type="dxa"/>
                  <w:gridSpan w:val="2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Приготовление растворов</w:t>
                  </w:r>
                </w:p>
              </w:tc>
            </w:tr>
            <w:tr w:rsidR="00545886" w:rsidRPr="00F23E29" w:rsidTr="00545886"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3304" w:type="dxa"/>
                  <w:gridSpan w:val="2"/>
                </w:tcPr>
                <w:p w:rsidR="00D42BB4" w:rsidRPr="00F23E29" w:rsidRDefault="006D7A6B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="00D42BB4" w:rsidRPr="00F23E29">
                    <w:rPr>
                      <w:bCs/>
                      <w:sz w:val="20"/>
                      <w:szCs w:val="20"/>
                    </w:rPr>
                    <w:t xml:space="preserve">0 </w:t>
                  </w:r>
                </w:p>
              </w:tc>
            </w:tr>
            <w:tr w:rsidR="00D42BB4" w:rsidRPr="00F23E29" w:rsidTr="00672F40">
              <w:tc>
                <w:tcPr>
                  <w:tcW w:w="3010" w:type="dxa"/>
                </w:tcPr>
                <w:p w:rsidR="00D42BB4" w:rsidRPr="00F23E29" w:rsidRDefault="00D42BB4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Обработка, анализ и оформление </w:t>
                  </w:r>
                  <w:r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результатов</w:t>
                  </w:r>
                </w:p>
                <w:p w:rsidR="00323DDF" w:rsidRPr="00F23E29" w:rsidRDefault="00323DDF" w:rsidP="00931BC4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:rsidR="00545886" w:rsidRDefault="006D7A6B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</w:t>
                  </w: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Default="006D7A6B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Pr="00F23E29" w:rsidRDefault="006D7A6B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672F40" w:rsidRPr="00F23E29" w:rsidTr="00DB4699">
              <w:tc>
                <w:tcPr>
                  <w:tcW w:w="3010" w:type="dxa"/>
                </w:tcPr>
                <w:p w:rsidR="00672F40" w:rsidRPr="00F23E29" w:rsidRDefault="00672F40" w:rsidP="00F23E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Модуль 2</w:t>
                  </w:r>
                </w:p>
              </w:tc>
              <w:tc>
                <w:tcPr>
                  <w:tcW w:w="3304" w:type="dxa"/>
                  <w:gridSpan w:val="2"/>
                </w:tcPr>
                <w:p w:rsidR="00672F40" w:rsidRPr="00F23E29" w:rsidRDefault="00672F40" w:rsidP="00CE54B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23E29">
                    <w:rPr>
                      <w:color w:val="0D040B"/>
                      <w:sz w:val="20"/>
                      <w:szCs w:val="20"/>
                      <w:lang w:bidi="he-IL"/>
                    </w:rPr>
                    <w:t xml:space="preserve">Анализ </w:t>
                  </w:r>
                  <w:r w:rsidR="00CE54B5">
                    <w:rPr>
                      <w:color w:val="0D040B"/>
                      <w:sz w:val="20"/>
                      <w:szCs w:val="20"/>
                      <w:lang w:bidi="he-IL"/>
                    </w:rPr>
                    <w:t>шоколада</w:t>
                  </w:r>
                </w:p>
              </w:tc>
            </w:tr>
            <w:tr w:rsidR="00672F40" w:rsidRPr="00F23E29" w:rsidTr="007C3F5C">
              <w:tc>
                <w:tcPr>
                  <w:tcW w:w="3010" w:type="dxa"/>
                </w:tcPr>
                <w:p w:rsidR="00672F40" w:rsidRPr="00F23E29" w:rsidRDefault="00672F40" w:rsidP="00F23E29">
                  <w:pPr>
                    <w:rPr>
                      <w:bCs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Количество баллов за модуль</w:t>
                  </w:r>
                </w:p>
              </w:tc>
              <w:tc>
                <w:tcPr>
                  <w:tcW w:w="3304" w:type="dxa"/>
                  <w:gridSpan w:val="2"/>
                </w:tcPr>
                <w:p w:rsidR="00672F40" w:rsidRPr="00F23E29" w:rsidRDefault="006D7A6B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="00672F40" w:rsidRPr="00F23E29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672F40" w:rsidRPr="00F23E29" w:rsidTr="00672F40">
              <w:tc>
                <w:tcPr>
                  <w:tcW w:w="3010" w:type="dxa"/>
                </w:tcPr>
                <w:p w:rsidR="00672F40" w:rsidRPr="00F23E29" w:rsidRDefault="00672F40" w:rsidP="00F23E29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Эксперты выставляют оценку по измеримым параметрам по </w:t>
                  </w:r>
                </w:p>
                <w:p w:rsidR="00672F40" w:rsidRPr="00F23E29" w:rsidRDefault="00672F40" w:rsidP="00F23E29">
                  <w:pPr>
                    <w:rPr>
                      <w:bCs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  следующим </w:t>
                  </w:r>
                  <w:proofErr w:type="spellStart"/>
                  <w:r w:rsidRPr="00F23E29">
                    <w:rPr>
                      <w:bCs/>
                      <w:sz w:val="20"/>
                      <w:szCs w:val="20"/>
                    </w:rPr>
                    <w:t>субкритериям</w:t>
                  </w:r>
                  <w:proofErr w:type="spellEnd"/>
                </w:p>
              </w:tc>
              <w:tc>
                <w:tcPr>
                  <w:tcW w:w="2557" w:type="dxa"/>
                </w:tcPr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Организация рабочего места</w:t>
                  </w:r>
                  <w:r>
                    <w:rPr>
                      <w:bCs/>
                      <w:sz w:val="20"/>
                      <w:szCs w:val="20"/>
                    </w:rPr>
                    <w:t>, подготовка оборудования и реактивов</w:t>
                  </w:r>
                </w:p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>Техника выполнения задания</w:t>
                  </w:r>
                </w:p>
                <w:p w:rsidR="00931BC4" w:rsidRPr="00F23E29" w:rsidRDefault="00931BC4" w:rsidP="00931BC4">
                  <w:pPr>
                    <w:rPr>
                      <w:bCs/>
                      <w:sz w:val="20"/>
                      <w:szCs w:val="20"/>
                    </w:rPr>
                  </w:pPr>
                  <w:r w:rsidRPr="00F23E29">
                    <w:rPr>
                      <w:bCs/>
                      <w:sz w:val="20"/>
                      <w:szCs w:val="20"/>
                    </w:rPr>
                    <w:t xml:space="preserve">Обработка, анализ и оформление </w:t>
                  </w:r>
                  <w:r>
                    <w:rPr>
                      <w:bCs/>
                      <w:sz w:val="20"/>
                      <w:szCs w:val="20"/>
                    </w:rPr>
                    <w:t xml:space="preserve">полученных </w:t>
                  </w:r>
                  <w:r w:rsidRPr="00F23E29">
                    <w:rPr>
                      <w:bCs/>
                      <w:sz w:val="20"/>
                      <w:szCs w:val="20"/>
                    </w:rPr>
                    <w:t>результатов</w:t>
                  </w:r>
                </w:p>
                <w:p w:rsidR="00672F40" w:rsidRPr="00F23E29" w:rsidRDefault="00672F40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</w:tcPr>
                <w:p w:rsidR="00E806E4" w:rsidRDefault="006D7A6B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</w:t>
                  </w: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Default="006D7A6B" w:rsidP="00F23E2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</w:t>
                  </w:r>
                </w:p>
                <w:p w:rsidR="00931BC4" w:rsidRDefault="00931BC4" w:rsidP="00F23E29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931BC4" w:rsidRPr="00F23E29" w:rsidRDefault="006D7A6B" w:rsidP="00931BC4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3F75B4" w:rsidRPr="00F23E29" w:rsidRDefault="00F23E29" w:rsidP="00F23E29">
            <w:pPr>
              <w:rPr>
                <w:b/>
                <w:bCs/>
              </w:rPr>
            </w:pPr>
            <w:r w:rsidRPr="00F23E29">
              <w:rPr>
                <w:rStyle w:val="1"/>
                <w:rFonts w:ascii="Times New Roman" w:hAnsi="Times New Roman" w:cs="Times New Roman"/>
              </w:rPr>
              <w:t>Окончательные аспекты критериев оценки уточняются членами жюри.</w:t>
            </w:r>
          </w:p>
        </w:tc>
      </w:tr>
      <w:tr w:rsidR="003F75B4" w:rsidRPr="004A12E4" w:rsidTr="00F31583">
        <w:trPr>
          <w:trHeight w:val="308"/>
        </w:trPr>
        <w:tc>
          <w:tcPr>
            <w:tcW w:w="287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 От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F23E29" w:rsidP="00F23E29">
            <w:pPr>
              <w:rPr>
                <w:bCs/>
              </w:rPr>
            </w:pPr>
            <w:r>
              <w:rPr>
                <w:bCs/>
              </w:rPr>
              <w:t>Участник должен знать и понимать:</w:t>
            </w:r>
          </w:p>
          <w:p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 xml:space="preserve">- правила техники безопасности, и правила противопожарной защиты при работе в химической </w:t>
            </w:r>
            <w:r>
              <w:rPr>
                <w:bCs/>
              </w:rPr>
              <w:lastRenderedPageBreak/>
              <w:t>лаборатории;</w:t>
            </w:r>
          </w:p>
          <w:p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:rsidR="00F23E29" w:rsidRDefault="00F23E29" w:rsidP="00F23E2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A34645">
              <w:rPr>
                <w:bCs/>
              </w:rPr>
              <w:t>принципы экологической безопасности при работе с химическими реактивами;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правила использования средств индивидуальной защиты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Участник должен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выполнять требования правил техники безопасности и правил противопожарной защиты при работе в химической лаборатории;</w:t>
            </w:r>
          </w:p>
          <w:p w:rsidR="00A34645" w:rsidRDefault="00A34645" w:rsidP="00A34645">
            <w:pPr>
              <w:rPr>
                <w:bCs/>
              </w:rPr>
            </w:pPr>
            <w:r>
              <w:rPr>
                <w:bCs/>
              </w:rPr>
              <w:t>- соблюдать принципы безопасной работы с химическими реактивами, стеклянной посудой и лабораторным оборудованием;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уметь правильно средства индивидуальной защиты;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надлежащим образом обращаться с опасными для окружающей среды веществами и утилизировать их;</w:t>
            </w:r>
          </w:p>
          <w:p w:rsidR="00A34645" w:rsidRDefault="00A34645" w:rsidP="00F23E29">
            <w:pPr>
              <w:rPr>
                <w:bCs/>
              </w:rPr>
            </w:pPr>
            <w:r>
              <w:rPr>
                <w:bCs/>
              </w:rPr>
              <w:t>- использовать спецодежду при работе в лаборатории</w:t>
            </w:r>
          </w:p>
          <w:p w:rsidR="00A34645" w:rsidRPr="00F23E29" w:rsidRDefault="00A34645" w:rsidP="00F23E29">
            <w:pPr>
              <w:rPr>
                <w:bCs/>
              </w:rPr>
            </w:pP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sectPr w:rsidR="003F75B4" w:rsidRPr="004A12E4" w:rsidSect="006E3BA0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A01F7"/>
    <w:rsid w:val="000F768C"/>
    <w:rsid w:val="00186664"/>
    <w:rsid w:val="001873BF"/>
    <w:rsid w:val="001955FF"/>
    <w:rsid w:val="0027752D"/>
    <w:rsid w:val="00323DDF"/>
    <w:rsid w:val="00340767"/>
    <w:rsid w:val="003F75B4"/>
    <w:rsid w:val="00520BA6"/>
    <w:rsid w:val="00545886"/>
    <w:rsid w:val="005572C9"/>
    <w:rsid w:val="005848AB"/>
    <w:rsid w:val="00672F40"/>
    <w:rsid w:val="006809B6"/>
    <w:rsid w:val="006A0569"/>
    <w:rsid w:val="006D7A6B"/>
    <w:rsid w:val="006E3BA0"/>
    <w:rsid w:val="00825FDD"/>
    <w:rsid w:val="00884525"/>
    <w:rsid w:val="00931BC4"/>
    <w:rsid w:val="009627BA"/>
    <w:rsid w:val="009A1FA4"/>
    <w:rsid w:val="00A34645"/>
    <w:rsid w:val="00C46455"/>
    <w:rsid w:val="00CE54B5"/>
    <w:rsid w:val="00CF4E65"/>
    <w:rsid w:val="00D42BB4"/>
    <w:rsid w:val="00DA3820"/>
    <w:rsid w:val="00E806E4"/>
    <w:rsid w:val="00E84EEC"/>
    <w:rsid w:val="00F23E29"/>
    <w:rsid w:val="00F31583"/>
    <w:rsid w:val="00FC342F"/>
    <w:rsid w:val="00FD1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16</cp:revision>
  <dcterms:created xsi:type="dcterms:W3CDTF">2018-05-17T06:17:00Z</dcterms:created>
  <dcterms:modified xsi:type="dcterms:W3CDTF">2019-10-26T17:07:00Z</dcterms:modified>
</cp:coreProperties>
</file>