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05" w:type="dxa"/>
        <w:jc w:val="lef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8"/>
        <w:gridCol w:w="6946"/>
      </w:tblGrid>
      <w:tr>
        <w:trPr>
          <w:trHeight w:val="308" w:hRule="atLeast"/>
        </w:trPr>
        <w:tc>
          <w:tcPr>
            <w:tcW w:w="9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>
        <w:trPr>
          <w:trHeight w:val="308" w:hRule="atLeast"/>
        </w:trPr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22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</w:t>
            </w:r>
            <w:r>
              <w:rPr>
                <w:sz w:val="26"/>
                <w:szCs w:val="26"/>
              </w:rPr>
              <w:t>ября 20</w:t>
            </w: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>
        <w:trPr>
          <w:trHeight w:val="308" w:hRule="atLeast"/>
        </w:trPr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Дворец пионеров и школьников им.Н.К.Крупской г.Челябинска</w:t>
            </w:r>
          </w:p>
        </w:tc>
      </w:tr>
      <w:tr>
        <w:trPr>
          <w:trHeight w:val="308" w:hRule="atLeast"/>
        </w:trPr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26"/>
                <w:szCs w:val="26"/>
              </w:rPr>
              <w:t>Электроника 1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>-1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</w:tbl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Конкурсное задание</w:t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Электроника  14-16</w:t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ФОРМЫ УЧАСТИЯ В КОНКУРСЕ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конкурс.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ЗАДАНИЕ ДЛЯ КОНКУРСА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Конкурсное задание содержит 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 xml:space="preserve"> модуля: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проектирование аппаратного обеспечения;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программирование встраиваемых систем;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Конкурсном задании могут использоваться печатные платы, которые включают выводные компоненты (PTH) и компоненты поверхностного монтажа (SMD). Монтаж проводки, механическая сборка, компоновочные узлы могут также быть включены в модули. Во всех модулях Конкурсного задания используется напряжение плюс-минус 24 В или менее. Продолжительность Конкурсного задания составляет 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>. Возрастной ценз участников для выполнения Конкурсного задания от 14 до 16 лет. Оценка знаний участника проводится исключительно через практическое выполнение Конкурсного задания. Оценка производится в отношении работы модулей.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Детали конкурсного задания в зависимости от конкурсных условий могут быть изменены членами жюри. Конкурсное задание должно выполняться помодульно. Оценка также происходит от модуля к модулю.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МОДУЛИ ЗАДАНИЯ И НЕОБХОДИМОЕ ВРЕМЯ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Модули и время сведены в таблицу 1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Таблица 1.</w:t>
      </w:r>
    </w:p>
    <w:tbl>
      <w:tblPr>
        <w:tblW w:w="964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91"/>
        <w:gridCol w:w="4882"/>
        <w:gridCol w:w="1759"/>
        <w:gridCol w:w="2209"/>
      </w:tblGrid>
      <w:tr>
        <w:trPr/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модуля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 время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на задание</w:t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/>
            </w:pPr>
            <w:r>
              <w:rPr/>
              <w:t>1</w:t>
            </w:r>
          </w:p>
        </w:tc>
        <w:tc>
          <w:tcPr>
            <w:tcW w:w="48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А: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Проектирование аппаратного обеспечения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/>
            </w:pPr>
            <w:r>
              <w:rPr/>
              <w:t xml:space="preserve">Блок А1 — с 9.00 до 9.30 </w:t>
            </w:r>
          </w:p>
          <w:p>
            <w:pPr>
              <w:pStyle w:val="Style22"/>
              <w:rPr/>
            </w:pPr>
            <w:r>
              <w:rPr/>
              <w:t>Блок А2 — с 9.30 до 10.00</w:t>
            </w:r>
          </w:p>
          <w:p>
            <w:pPr>
              <w:pStyle w:val="Style22"/>
              <w:rPr/>
            </w:pPr>
            <w:r>
              <w:rPr/>
              <w:t>Блок А3 — с 10.00 до 11.00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/>
            </w:pPr>
            <w:r>
              <w:rPr/>
            </w:r>
          </w:p>
          <w:p>
            <w:pPr>
              <w:pStyle w:val="Style22"/>
              <w:jc w:val="center"/>
              <w:rPr/>
            </w:pPr>
            <w:r>
              <w:rPr/>
            </w:r>
          </w:p>
          <w:p>
            <w:pPr>
              <w:pStyle w:val="Style22"/>
              <w:jc w:val="center"/>
              <w:rPr/>
            </w:pPr>
            <w:r>
              <w:rPr/>
              <w:t>2 часа</w:t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/>
            </w:pPr>
            <w:r>
              <w:rPr/>
              <w:t>2</w:t>
            </w:r>
          </w:p>
        </w:tc>
        <w:tc>
          <w:tcPr>
            <w:tcW w:w="48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В: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Программирование встроенных систем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/>
            </w:pPr>
            <w:r>
              <w:rPr/>
              <w:t>с 12.00 до 14.00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/>
            </w:pPr>
            <w:r>
              <w:rPr/>
              <w:t>2 часа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Модуль А: Проектирование аппаратного обеспечения.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Данный модуль состоит из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этапов: - время выполнение</w:t>
      </w:r>
      <w:r>
        <w:rPr>
          <w:sz w:val="26"/>
          <w:szCs w:val="26"/>
        </w:rPr>
        <w:t xml:space="preserve"> этапа 1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30 минут</w:t>
      </w:r>
      <w:r>
        <w:rPr>
          <w:sz w:val="26"/>
          <w:szCs w:val="26"/>
        </w:rPr>
        <w:t xml:space="preserve">; - время выполнения этапа 2 – </w:t>
      </w:r>
      <w:r>
        <w:rPr>
          <w:sz w:val="26"/>
          <w:szCs w:val="26"/>
        </w:rPr>
        <w:t>30 минут</w:t>
      </w:r>
      <w:r>
        <w:rPr>
          <w:sz w:val="26"/>
          <w:szCs w:val="26"/>
        </w:rPr>
        <w:t xml:space="preserve">; - время выполнения этапа 3 –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час. Общее время выполнения модуля –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. На этапе 1 конкурсант должен спроектировать всю схему или ее часть. Схема должна проверяться посредством виртуального моделирования с обязательным проведением виртуальных измерений. Проверка схем путем сравнения со схемой, предоставленной Разработчиком Конкурсного задания, не допускается.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этапе 2 конкурсант получит схему электрическую принципиальную исходного проекта. Данный эскиз схемы будет использоваться конкурсантом для сборки устройства на макетной плате без применения пайки. При сборке необходимо обязательно придерживаться рекомендаций, приведенных в Конкурсном задании данного модуля. По завершении сборки необходимо провести испытания макета устройства. В случае выявления проблем/ошибок проектирования на данном этапе, их необходимо устранить.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3 этапе производится сборка устройства на печатной плате с применением операции пайки. По завершении сборки конкурсант должен провести ряд измерений для доказательства функциональности как отдельных блоков (узлов) устройства, так и всего устройства в целом. В случае выявления проблем/ошибок на данном этапе, их необходимо устранить. Для сборки будет использоваться технология монтажа в отверстия (PTH). </w:t>
      </w:r>
      <w:r>
        <w:rPr>
          <w:sz w:val="26"/>
          <w:szCs w:val="26"/>
        </w:rPr>
        <w:t>К</w:t>
      </w:r>
      <w:r>
        <w:rPr>
          <w:sz w:val="26"/>
          <w:szCs w:val="26"/>
        </w:rPr>
        <w:t>омпоненты име</w:t>
      </w:r>
      <w:r>
        <w:rPr>
          <w:sz w:val="26"/>
          <w:szCs w:val="26"/>
        </w:rPr>
        <w:t>ют</w:t>
      </w:r>
      <w:r>
        <w:rPr>
          <w:sz w:val="26"/>
          <w:szCs w:val="26"/>
        </w:rPr>
        <w:t xml:space="preserve"> шаг выводов 0,5 мм или больше. Конкурсант получит набор компонентов, из которых он сможет выбирать компоненты, необходимые ему для проектирования. Стандартные основные компоненты: - операционные усилители и компараторы; - логические вентили (И, НЕ-И, счетчики, сдвиговые регистры, моностабильные схемы и т. д.); - пассивные компоненты (резисторы, конденсаторы и т. д.); - дискретные полупроводниковые приборы (транзисторы, диоды, стабилитроны и т. д.); - оптоэлектронные компоненты (фотоэлементы, разрезные оптоэлектронные компоненты, 7-сегментные дисплеи и т. д.). Правила макетирования будут предоставлены в день выполнения модуля. Рабочий демонстрационный модуль </w:t>
      </w:r>
      <w:r>
        <w:rPr>
          <w:sz w:val="26"/>
          <w:szCs w:val="26"/>
        </w:rPr>
        <w:t>будет</w:t>
      </w:r>
      <w:r>
        <w:rPr>
          <w:sz w:val="26"/>
          <w:szCs w:val="26"/>
        </w:rPr>
        <w:t xml:space="preserve"> предоставлен вместе с запасными заменяемыми компонентами. Все электронные детали, доставляемые на соревнование, должны находиться в антистатических пакетах.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Модуль В: Программирование встраиваемых систем. 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Данный модуль состоит из одного этапа. Время выполнения –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часа. Для выполнения Конкурсного задания Конкурсанту предоставляется аппаратная платформа, представляющая собой отладочную плату Arduino Uno R3 или полнофункциональный аналог, готов</w:t>
      </w:r>
      <w:r>
        <w:rPr>
          <w:sz w:val="26"/>
          <w:szCs w:val="26"/>
        </w:rPr>
        <w:t>ая</w:t>
      </w:r>
      <w:r>
        <w:rPr>
          <w:sz w:val="26"/>
          <w:szCs w:val="26"/>
        </w:rPr>
        <w:t xml:space="preserve"> Shield-плат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с установленными на ней необходимыми компонентами. </w:t>
      </w:r>
      <w:r>
        <w:rPr>
          <w:sz w:val="26"/>
          <w:szCs w:val="26"/>
        </w:rPr>
        <w:t xml:space="preserve">Подробное описание платы есть здесь: </w:t>
      </w:r>
      <w:hyperlink r:id="rId2">
        <w:r>
          <w:rPr>
            <w:rStyle w:val="Style16"/>
            <w:sz w:val="26"/>
            <w:szCs w:val="26"/>
          </w:rPr>
          <w:t>http://www.customelectronics.ru/joystickshield/</w:t>
        </w:r>
      </w:hyperlink>
      <w:hyperlink r:id="rId3">
        <w:r>
          <w:rPr>
            <w:sz w:val="26"/>
            <w:szCs w:val="26"/>
          </w:rPr>
          <w:t xml:space="preserve"> </w:t>
        </w:r>
      </w:hyperlink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Конкурсантам предоставляется предварительно собранная схема устройства. Программное обеспечение разрабатывается Конкурсантом в среде разработки Arduino IDE на языке С. Допустимо использовать встроенные библиотеки среды разработки Arduino IDE, а также, в случае необходимости, специализированные библиотеки. Специальные материалы и (или) спецификации производителя, необходимые Конкурсантам для выполнения Конкурсного задания, будут предоставлены. Если в задание входит комплексный внешний компонент, его техническая документация будет предоставлена. </w:t>
      </w:r>
      <w:r>
        <w:rPr>
          <w:sz w:val="26"/>
          <w:szCs w:val="26"/>
        </w:rPr>
        <w:t>Также будет п</w:t>
      </w:r>
      <w:r>
        <w:rPr>
          <w:sz w:val="26"/>
          <w:szCs w:val="26"/>
        </w:rPr>
        <w:t>редостав</w:t>
      </w:r>
      <w:r>
        <w:rPr>
          <w:sz w:val="26"/>
          <w:szCs w:val="26"/>
        </w:rPr>
        <w:t>лено</w:t>
      </w:r>
      <w:r>
        <w:rPr>
          <w:sz w:val="26"/>
          <w:szCs w:val="26"/>
        </w:rPr>
        <w:t xml:space="preserve"> не менее одного рабочего устройства и продемонстрирова</w:t>
      </w:r>
      <w:r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</w:t>
      </w:r>
      <w:r>
        <w:rPr>
          <w:sz w:val="26"/>
          <w:szCs w:val="26"/>
        </w:rPr>
        <w:t>функционир</w:t>
      </w:r>
      <w:r>
        <w:rPr>
          <w:sz w:val="26"/>
          <w:szCs w:val="26"/>
        </w:rPr>
        <w:t>ование.</w:t>
      </w: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КРИТЕРИИ ОЦЕНКИ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данном разделе определены критерии оценки и количество начисляемых баллов (субъективные и объективные). Общее количество баллов задания/модуля по всем критериям оценки составляет 100.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Объективные аспекты оценивания работы участника (примерные):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правильность выполнения электрической схемы;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правильность выполнения расчетов;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макетирование выполнено целиком;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соблюдены правила макетирования;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функциональность макета соответствует заданию;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качество пайки компонентов;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качество формовки выводов компонентов;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правильность установки компонентов;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правильность механической сборки корпуса;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функциональность собранного посредством пайки устройства соответствует заданию;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функциональность ПО соответствует заданию на программирование;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правильность проведенных поиска неисправностей и ремонта;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достоверность доказательств неисправностей;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правильность оформления результатов.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5. ПРИЛОЖЕНИЯ К ЗАДАНИЮ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Не предусмотрено.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75b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4"/>
    <w:qFormat/>
    <w:rsid w:val="001955ff"/>
    <w:rPr>
      <w:rFonts w:ascii="Calibri" w:hAnsi="Calibri" w:eastAsia="Calibri" w:cs="Calibri"/>
      <w:spacing w:val="2"/>
      <w:shd w:fill="FFFFFF" w:val="clear"/>
    </w:rPr>
  </w:style>
  <w:style w:type="character" w:styleId="1" w:customStyle="1">
    <w:name w:val="Основной текст1"/>
    <w:basedOn w:val="Style14"/>
    <w:qFormat/>
    <w:rsid w:val="001955ff"/>
    <w:rPr>
      <w:rFonts w:ascii="Calibri" w:hAnsi="Calibri" w:eastAsia="Calibri" w:cs="Calibri"/>
      <w:color w:val="000000"/>
      <w:spacing w:val="2"/>
      <w:w w:val="100"/>
      <w:shd w:fill="FFFFFF" w:val="clear"/>
      <w:lang w:val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954c5"/>
    <w:rPr>
      <w:rFonts w:ascii="Tahoma" w:hAnsi="Tahoma" w:eastAsia="Times New Roman" w:cs="Tahoma"/>
      <w:sz w:val="16"/>
      <w:szCs w:val="16"/>
      <w:lang w:eastAsia="ru-RU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4" w:customStyle="1">
    <w:name w:val="Основной текст4"/>
    <w:basedOn w:val="Normal"/>
    <w:link w:val="a3"/>
    <w:qFormat/>
    <w:rsid w:val="001955ff"/>
    <w:pPr>
      <w:widowControl w:val="false"/>
      <w:shd w:val="clear" w:color="auto" w:fill="FFFFFF"/>
      <w:spacing w:lineRule="exact" w:line="298" w:before="420" w:after="240"/>
      <w:ind w:hanging="360"/>
      <w:jc w:val="both"/>
    </w:pPr>
    <w:rPr>
      <w:rFonts w:ascii="Calibri" w:hAnsi="Calibri" w:eastAsia="Calibri" w:cs="Calibri"/>
      <w:spacing w:val="2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955f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6954c5"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d42bb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ustomelectronics.ru/joystickshield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LibreOffice/5.4.1.2$Windows_x86 LibreOffice_project/ea7cb86e6eeb2bf3a5af73a8f7777ac570321527</Application>
  <Pages>4</Pages>
  <Words>743</Words>
  <Characters>5294</Characters>
  <CharactersWithSpaces>6012</CharactersWithSpaces>
  <Paragraphs>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2020-09-21T13:31:00Z</dcterms:created>
  <dc:creator>user2</dc:creator>
  <dc:description/>
  <dc:language>ru-RU</dc:language>
  <cp:lastModifiedBy/>
  <cp:lastPrinted>2020-09-21T13:29:00Z</cp:lastPrinted>
  <dcterms:modified xsi:type="dcterms:W3CDTF">2021-09-02T11:07:19Z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